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11A" w:rsidRPr="00D86C4C" w:rsidRDefault="0004395E" w:rsidP="00D86C4C">
      <w:pPr>
        <w:jc w:val="center"/>
        <w:rPr>
          <w:rFonts w:ascii="Arial" w:hAnsi="Arial" w:cs="Arial"/>
          <w:b/>
          <w:sz w:val="28"/>
          <w:szCs w:val="28"/>
          <w:lang w:val="en-GB"/>
        </w:rPr>
      </w:pPr>
      <w:bookmarkStart w:id="0" w:name="_GoBack"/>
      <w:bookmarkEnd w:id="0"/>
      <w:r>
        <w:rPr>
          <w:rFonts w:ascii="Arial" w:hAnsi="Arial" w:cs="Arial"/>
          <w:b/>
          <w:sz w:val="28"/>
          <w:szCs w:val="28"/>
          <w:lang w:val="en-GB"/>
        </w:rPr>
        <w:t>ANNEX XII</w:t>
      </w:r>
    </w:p>
    <w:p w:rsidR="00D86C4C" w:rsidRPr="00D86C4C" w:rsidRDefault="00D86C4C" w:rsidP="00D86C4C">
      <w:pPr>
        <w:jc w:val="center"/>
        <w:rPr>
          <w:rFonts w:ascii="Arial" w:hAnsi="Arial" w:cs="Arial"/>
          <w:b/>
          <w:sz w:val="28"/>
          <w:szCs w:val="28"/>
          <w:lang w:val="en-GB"/>
        </w:rPr>
      </w:pPr>
      <w:r w:rsidRPr="00D86C4C">
        <w:rPr>
          <w:rFonts w:ascii="Arial" w:hAnsi="Arial" w:cs="Arial"/>
          <w:b/>
          <w:sz w:val="28"/>
          <w:szCs w:val="28"/>
          <w:lang w:val="en-GB"/>
        </w:rPr>
        <w:t>PROPOSAL ON RE-STRUCTURING AND STREAMLINING</w:t>
      </w:r>
    </w:p>
    <w:p w:rsidR="00D86C4C" w:rsidRPr="00D86C4C" w:rsidRDefault="00D86C4C" w:rsidP="00D86C4C">
      <w:pPr>
        <w:jc w:val="center"/>
        <w:rPr>
          <w:rFonts w:ascii="Arial" w:hAnsi="Arial" w:cs="Arial"/>
          <w:b/>
          <w:sz w:val="28"/>
          <w:szCs w:val="28"/>
          <w:lang w:val="en-GB"/>
        </w:rPr>
      </w:pPr>
      <w:r w:rsidRPr="00D86C4C">
        <w:rPr>
          <w:rFonts w:ascii="Arial" w:hAnsi="Arial" w:cs="Arial"/>
          <w:b/>
          <w:sz w:val="28"/>
          <w:szCs w:val="28"/>
          <w:lang w:val="en-GB"/>
        </w:rPr>
        <w:t>THE ORGANIZATION OF TC SESSION, IWS AND TECO</w:t>
      </w:r>
    </w:p>
    <w:p w:rsidR="00D86C4C" w:rsidRPr="00D86C4C" w:rsidRDefault="009E7F72" w:rsidP="009E7F72">
      <w:pPr>
        <w:jc w:val="center"/>
        <w:rPr>
          <w:rFonts w:ascii="Arial" w:hAnsi="Arial" w:cs="Arial"/>
          <w:sz w:val="28"/>
          <w:szCs w:val="28"/>
        </w:rPr>
      </w:pPr>
      <w:r>
        <w:rPr>
          <w:rFonts w:ascii="Arial" w:hAnsi="Arial" w:cs="Arial"/>
          <w:b/>
          <w:sz w:val="28"/>
          <w:szCs w:val="28"/>
        </w:rPr>
        <w:t>(</w:t>
      </w:r>
      <w:r w:rsidR="00D86C4C" w:rsidRPr="00D86C4C">
        <w:rPr>
          <w:rFonts w:ascii="Arial" w:hAnsi="Arial" w:cs="Arial"/>
          <w:b/>
          <w:sz w:val="28"/>
          <w:szCs w:val="28"/>
        </w:rPr>
        <w:t>Document presented by Mr. Edwin Lai</w:t>
      </w:r>
      <w:r>
        <w:rPr>
          <w:rFonts w:ascii="Arial" w:hAnsi="Arial" w:cs="Arial"/>
          <w:b/>
          <w:sz w:val="28"/>
          <w:szCs w:val="28"/>
        </w:rPr>
        <w:t>)</w:t>
      </w:r>
    </w:p>
    <w:p w:rsidR="00D86C4C" w:rsidRPr="00ED3774" w:rsidRDefault="00D86C4C" w:rsidP="00D86C4C">
      <w:pPr>
        <w:jc w:val="both"/>
        <w:rPr>
          <w:rFonts w:ascii="Arial" w:hAnsi="Arial" w:cs="Arial"/>
          <w:i/>
          <w:sz w:val="28"/>
          <w:szCs w:val="28"/>
        </w:rPr>
      </w:pPr>
      <w:r w:rsidRPr="00ED3774">
        <w:rPr>
          <w:rFonts w:ascii="Arial" w:hAnsi="Arial" w:cs="Arial"/>
          <w:i/>
          <w:sz w:val="28"/>
          <w:szCs w:val="28"/>
        </w:rPr>
        <w:t>Proposed key changes that may help to streamline the way we organize meetings and conduct the business in TC:</w:t>
      </w:r>
    </w:p>
    <w:p w:rsidR="00D86C4C" w:rsidRPr="00B61BEE" w:rsidRDefault="00D86C4C" w:rsidP="00D86C4C">
      <w:pPr>
        <w:numPr>
          <w:ilvl w:val="0"/>
          <w:numId w:val="1"/>
        </w:numPr>
        <w:jc w:val="both"/>
        <w:rPr>
          <w:rFonts w:ascii="Arial" w:hAnsi="Arial" w:cs="Arial"/>
          <w:i/>
          <w:sz w:val="28"/>
          <w:szCs w:val="28"/>
        </w:rPr>
      </w:pPr>
      <w:r w:rsidRPr="00B61BEE">
        <w:rPr>
          <w:rFonts w:ascii="Arial" w:hAnsi="Arial" w:cs="Arial"/>
          <w:i/>
          <w:sz w:val="28"/>
          <w:szCs w:val="28"/>
        </w:rPr>
        <w:t>TECO – The TECO was previously suggested to be included in the TC annual Session, but it was recommended to be part of the IWS which has already, at present, a technical seminar component. WGM, WGH, WGDRR and TRCG should take turns to organize the technical theme to ensure a balance, as well as accommodating the four-yearly TRCG forum and meeting.</w:t>
      </w:r>
    </w:p>
    <w:p w:rsidR="00D86C4C" w:rsidRPr="00B61BEE" w:rsidRDefault="00D86C4C" w:rsidP="00D86C4C">
      <w:pPr>
        <w:numPr>
          <w:ilvl w:val="0"/>
          <w:numId w:val="1"/>
        </w:numPr>
        <w:jc w:val="both"/>
        <w:rPr>
          <w:rFonts w:ascii="Arial" w:hAnsi="Arial" w:cs="Arial"/>
          <w:i/>
          <w:sz w:val="28"/>
          <w:szCs w:val="28"/>
        </w:rPr>
      </w:pPr>
      <w:r w:rsidRPr="00B61BEE">
        <w:rPr>
          <w:rFonts w:ascii="Arial" w:hAnsi="Arial" w:cs="Arial"/>
          <w:i/>
          <w:sz w:val="28"/>
          <w:szCs w:val="28"/>
        </w:rPr>
        <w:t xml:space="preserve"> IWS – Apart the from the usual parallel and plenary sessions for the three WGs and the AOP planning session for the AWG, it was considered allow more time for discussing cross-cutting initiatives. Also two more items were proposed: </w:t>
      </w:r>
    </w:p>
    <w:p w:rsidR="00D86C4C" w:rsidRPr="00B61BEE" w:rsidRDefault="00D86C4C" w:rsidP="00D86C4C">
      <w:pPr>
        <w:numPr>
          <w:ilvl w:val="0"/>
          <w:numId w:val="2"/>
        </w:numPr>
        <w:jc w:val="both"/>
        <w:rPr>
          <w:rFonts w:ascii="Arial" w:hAnsi="Arial" w:cs="Arial"/>
          <w:i/>
          <w:sz w:val="28"/>
          <w:szCs w:val="28"/>
        </w:rPr>
      </w:pPr>
      <w:r w:rsidRPr="00B61BEE">
        <w:rPr>
          <w:rFonts w:ascii="Arial" w:hAnsi="Arial" w:cs="Arial"/>
          <w:i/>
          <w:sz w:val="28"/>
          <w:szCs w:val="28"/>
        </w:rPr>
        <w:t xml:space="preserve">member reports to be presented at the IWS (in the parallel sessions) instead of TC Session; </w:t>
      </w:r>
    </w:p>
    <w:p w:rsidR="00D86C4C" w:rsidRPr="00B61BEE" w:rsidRDefault="00D86C4C" w:rsidP="00D86C4C">
      <w:pPr>
        <w:numPr>
          <w:ilvl w:val="0"/>
          <w:numId w:val="2"/>
        </w:numPr>
        <w:jc w:val="both"/>
        <w:rPr>
          <w:rFonts w:ascii="Arial" w:hAnsi="Arial" w:cs="Arial"/>
          <w:i/>
          <w:sz w:val="28"/>
          <w:szCs w:val="28"/>
        </w:rPr>
      </w:pPr>
      <w:r w:rsidRPr="00B61BEE">
        <w:rPr>
          <w:rFonts w:ascii="Arial" w:hAnsi="Arial" w:cs="Arial"/>
          <w:i/>
          <w:sz w:val="28"/>
          <w:szCs w:val="28"/>
        </w:rPr>
        <w:t xml:space="preserve">AWG drafting of an executive summary and message for Members’ respective governments, to be endorsed by TC Session, then issued by TCS for delivery via respective Member’s PRs. </w:t>
      </w:r>
    </w:p>
    <w:p w:rsidR="00D86C4C" w:rsidRPr="00D86C4C" w:rsidRDefault="00D86C4C" w:rsidP="00D86C4C">
      <w:pPr>
        <w:numPr>
          <w:ilvl w:val="0"/>
          <w:numId w:val="1"/>
        </w:numPr>
        <w:jc w:val="both"/>
      </w:pPr>
      <w:r w:rsidRPr="00B61BEE">
        <w:rPr>
          <w:rFonts w:ascii="Arial" w:hAnsi="Arial" w:cs="Arial"/>
          <w:i/>
          <w:sz w:val="28"/>
          <w:szCs w:val="28"/>
        </w:rPr>
        <w:t xml:space="preserve"> TC Session – mainly a 3 or 4-day event (without the Member reports). The drafting of the executive message governments is likely to draw PRs or more senior officials to attend. Opportunity should also be taken to make a conscious and strategic effort to invite international observers and funding agencies to attend for resource mobilization purposes.</w:t>
      </w:r>
      <w:r w:rsidRPr="00D86C4C">
        <w:t xml:space="preserve"> </w:t>
      </w:r>
    </w:p>
    <w:sectPr w:rsidR="00D86C4C" w:rsidRPr="00D86C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35713"/>
    <w:multiLevelType w:val="hybridMultilevel"/>
    <w:tmpl w:val="F6966FB4"/>
    <w:lvl w:ilvl="0" w:tplc="3A52E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EC13FF"/>
    <w:multiLevelType w:val="hybridMultilevel"/>
    <w:tmpl w:val="18B4F1C2"/>
    <w:lvl w:ilvl="0" w:tplc="8E3AE5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4C"/>
    <w:rsid w:val="0004395E"/>
    <w:rsid w:val="009177F6"/>
    <w:rsid w:val="009E7F72"/>
    <w:rsid w:val="00CA111A"/>
    <w:rsid w:val="00D86C4C"/>
    <w:rsid w:val="00F73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2012-09-16T08:28:00Z</dcterms:created>
  <dcterms:modified xsi:type="dcterms:W3CDTF">2012-09-16T08:28:00Z</dcterms:modified>
</cp:coreProperties>
</file>